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C7EEEC" w14:textId="333B3E4C" w:rsidR="009B66A1" w:rsidRPr="00F9327E" w:rsidRDefault="00995EFD" w:rsidP="00DD4CF3">
      <w:pPr>
        <w:pStyle w:val="CorpoA"/>
        <w:spacing w:line="360" w:lineRule="auto"/>
        <w:jc w:val="center"/>
        <w:rPr>
          <w:rStyle w:val="apple-converted-space"/>
          <w:rFonts w:ascii="Times New Roman" w:eastAsia="Arial" w:hAnsi="Times New Roman" w:cs="Times New Roman"/>
          <w:b/>
          <w:bCs/>
          <w:sz w:val="24"/>
          <w:szCs w:val="24"/>
        </w:rPr>
      </w:pPr>
      <w:r>
        <w:rPr>
          <w:rStyle w:val="apple-converted-space"/>
          <w:rFonts w:ascii="Times New Roman" w:hAnsi="Times New Roman" w:cs="Times New Roman"/>
          <w:b/>
          <w:bCs/>
          <w:sz w:val="24"/>
          <w:szCs w:val="24"/>
        </w:rPr>
        <w:t>FARMACOVIGILÂNCIA HOSPITALAR: DIFICULDADES ENFRENTADAS PELOS PROFISSIONIAS DE SAÚDE</w:t>
      </w:r>
    </w:p>
    <w:p w14:paraId="0D258CFC" w14:textId="77777777" w:rsidR="009B66A1" w:rsidRPr="00F9327E" w:rsidRDefault="009B66A1" w:rsidP="00DD4CF3">
      <w:pPr>
        <w:pStyle w:val="CorpoA"/>
        <w:spacing w:line="360" w:lineRule="auto"/>
        <w:jc w:val="center"/>
        <w:rPr>
          <w:rFonts w:ascii="Times New Roman" w:hAnsi="Times New Roman" w:cs="Times New Roman"/>
        </w:rPr>
      </w:pPr>
    </w:p>
    <w:p w14:paraId="47066792" w14:textId="0A378186" w:rsidR="00995EFD" w:rsidRDefault="00995EFD" w:rsidP="00995EFD">
      <w:pPr>
        <w:pStyle w:val="CorpoA"/>
        <w:spacing w:line="360" w:lineRule="auto"/>
        <w:ind w:firstLine="550"/>
        <w:jc w:val="center"/>
        <w:rPr>
          <w:rStyle w:val="apple-converted-space"/>
          <w:rFonts w:ascii="Times New Roman" w:hAnsi="Times New Roman" w:cs="Times New Roman"/>
          <w:sz w:val="24"/>
          <w:szCs w:val="24"/>
          <w:lang w:val="de-DE"/>
        </w:rPr>
      </w:pPr>
      <w:r w:rsidRPr="00995EFD">
        <w:rPr>
          <w:rStyle w:val="apple-converted-space"/>
          <w:rFonts w:ascii="Times New Roman" w:hAnsi="Times New Roman" w:cs="Times New Roman"/>
          <w:sz w:val="24"/>
          <w:szCs w:val="24"/>
          <w:lang w:val="de-DE"/>
        </w:rPr>
        <w:t>Giovanna Teixeira Moreira</w:t>
      </w:r>
      <w:r>
        <w:rPr>
          <w:rStyle w:val="apple-converted-space"/>
          <w:rFonts w:ascii="Times New Roman" w:hAnsi="Times New Roman" w:cs="Times New Roman"/>
          <w:sz w:val="24"/>
          <w:szCs w:val="24"/>
          <w:lang w:val="de-DE"/>
        </w:rPr>
        <w:t xml:space="preserve"> dos Santos </w:t>
      </w:r>
    </w:p>
    <w:p w14:paraId="13CA3234" w14:textId="4729E722" w:rsidR="00995EFD" w:rsidRDefault="00995EFD" w:rsidP="00995EFD">
      <w:pPr>
        <w:pStyle w:val="CorpoA"/>
        <w:spacing w:line="360" w:lineRule="auto"/>
        <w:ind w:firstLine="550"/>
        <w:jc w:val="center"/>
        <w:rPr>
          <w:rStyle w:val="apple-converted-space"/>
          <w:rFonts w:ascii="Times New Roman" w:hAnsi="Times New Roman" w:cs="Times New Roman"/>
          <w:sz w:val="24"/>
          <w:szCs w:val="24"/>
          <w:lang w:val="de-DE"/>
        </w:rPr>
      </w:pPr>
      <w:r>
        <w:rPr>
          <w:rStyle w:val="apple-converted-space"/>
          <w:rFonts w:ascii="Times New Roman" w:hAnsi="Times New Roman" w:cs="Times New Roman"/>
          <w:sz w:val="24"/>
          <w:szCs w:val="24"/>
          <w:lang w:val="de-DE"/>
        </w:rPr>
        <w:t xml:space="preserve">Liliane Marinho Ottone Costa </w:t>
      </w:r>
    </w:p>
    <w:p w14:paraId="40643017" w14:textId="77777777" w:rsidR="00995EFD" w:rsidRPr="00995EFD" w:rsidRDefault="00995EFD" w:rsidP="00995EFD">
      <w:pPr>
        <w:pStyle w:val="CorpoA"/>
        <w:spacing w:line="360" w:lineRule="auto"/>
        <w:ind w:firstLine="550"/>
        <w:jc w:val="center"/>
        <w:rPr>
          <w:rStyle w:val="apple-converted-space"/>
          <w:rFonts w:ascii="Times New Roman" w:hAnsi="Times New Roman" w:cs="Times New Roman"/>
          <w:sz w:val="24"/>
          <w:szCs w:val="24"/>
          <w:lang w:val="de-DE"/>
        </w:rPr>
      </w:pPr>
    </w:p>
    <w:p w14:paraId="39BF3F51" w14:textId="3D4E7311" w:rsidR="00995EFD" w:rsidRDefault="009B66A1" w:rsidP="002F38D8">
      <w:pPr>
        <w:tabs>
          <w:tab w:val="left" w:pos="1008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F9327E">
        <w:rPr>
          <w:rFonts w:ascii="Times New Roman" w:hAnsi="Times New Roman" w:cs="Times New Roman"/>
          <w:b/>
        </w:rPr>
        <w:t>Introdução:</w:t>
      </w:r>
      <w:r w:rsidRPr="00F9327E">
        <w:rPr>
          <w:rFonts w:ascii="Times New Roman" w:hAnsi="Times New Roman" w:cs="Times New Roman"/>
        </w:rPr>
        <w:t xml:space="preserve"> </w:t>
      </w:r>
      <w:r w:rsidR="00995EFD">
        <w:rPr>
          <w:rFonts w:ascii="Times New Roman" w:hAnsi="Times New Roman" w:cs="Times New Roman"/>
        </w:rPr>
        <w:t xml:space="preserve">A OMS (Organização Mundial de Saúde) define a farmacovigilância como a ciências relacionada a detecção, compreensão, avaliação e prevenção das </w:t>
      </w:r>
      <w:proofErr w:type="spellStart"/>
      <w:r w:rsidR="00995EFD">
        <w:rPr>
          <w:rFonts w:ascii="Times New Roman" w:hAnsi="Times New Roman" w:cs="Times New Roman"/>
        </w:rPr>
        <w:t>RAMs</w:t>
      </w:r>
      <w:proofErr w:type="spellEnd"/>
      <w:r w:rsidR="00995EFD">
        <w:rPr>
          <w:rFonts w:ascii="Times New Roman" w:hAnsi="Times New Roman" w:cs="Times New Roman"/>
        </w:rPr>
        <w:t xml:space="preserve"> (Reações Adversas a Medicamentos), sendo indispensável sua prática de forma efetiva dentro do ambiente hospitalar para assegurar a vida e o bem-estar do paciente. </w:t>
      </w:r>
    </w:p>
    <w:p w14:paraId="1160311E" w14:textId="50101092" w:rsidR="00995EFD" w:rsidRDefault="00995EFD" w:rsidP="002F38D8">
      <w:pPr>
        <w:tabs>
          <w:tab w:val="left" w:pos="1008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 final de 2018 a ANVISA (Agência Nacional de Vigilância Sanitária) implantou uma nova plataforma </w:t>
      </w:r>
      <w:proofErr w:type="spellStart"/>
      <w:r>
        <w:rPr>
          <w:rFonts w:ascii="Times New Roman" w:hAnsi="Times New Roman" w:cs="Times New Roman"/>
        </w:rPr>
        <w:t>Vigimed</w:t>
      </w:r>
      <w:proofErr w:type="spellEnd"/>
      <w:r>
        <w:rPr>
          <w:rFonts w:ascii="Times New Roman" w:hAnsi="Times New Roman" w:cs="Times New Roman"/>
        </w:rPr>
        <w:t xml:space="preserve"> com intuito de aumentar os números de notificações, a plataforma trouxe um aumento significativo, mais ainda existem diversos fatores que limitam sua prática. </w:t>
      </w:r>
    </w:p>
    <w:p w14:paraId="1E15E176" w14:textId="05B7FFD5" w:rsidR="009B66A1" w:rsidRPr="00D027C1" w:rsidRDefault="00995EFD" w:rsidP="00D541AE">
      <w:pPr>
        <w:spacing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 xml:space="preserve">Compreender a realidade hospitalar e as dificuldades enfrentadas pelos profissionais de saúde justifica a necessidade de estudos que possam alavancar os números de notificações e promover mais segurança ao paciente. </w:t>
      </w:r>
      <w:r w:rsidR="009B66A1" w:rsidRPr="00F9327E">
        <w:rPr>
          <w:rFonts w:ascii="Times New Roman" w:hAnsi="Times New Roman" w:cs="Times New Roman"/>
          <w:b/>
        </w:rPr>
        <w:t>Objetivos:</w:t>
      </w:r>
      <w:r w:rsidR="009B66A1" w:rsidRPr="00F9327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Objetivo geral é compreender e analisar a complexidade do processo de farmacovigilância. Objetivo específico é investigar as limitações dos profissionais de saúde, identificar fatores internos e externos, analisar as dificuldades enfrentadas pelos profissionais de saúde, compreender causas e consequências das subnotificações e propor estratégias que possam fortalecer à cultura institucional e incentivo ativo. </w:t>
      </w:r>
      <w:r w:rsidR="009B66A1" w:rsidRPr="00F9327E">
        <w:rPr>
          <w:rFonts w:ascii="Times New Roman" w:hAnsi="Times New Roman" w:cs="Times New Roman"/>
          <w:b/>
        </w:rPr>
        <w:t>Metodologia: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Cs/>
        </w:rPr>
        <w:t xml:space="preserve">O trabalho caracteriza-se </w:t>
      </w:r>
      <w:r w:rsidRPr="000A4D48">
        <w:rPr>
          <w:rFonts w:ascii="Times New Roman" w:hAnsi="Times New Roman" w:cs="Times New Roman"/>
        </w:rPr>
        <w:t xml:space="preserve">como uma </w:t>
      </w:r>
      <w:r w:rsidRPr="000A4D48">
        <w:rPr>
          <w:rStyle w:val="Forte"/>
          <w:rFonts w:ascii="Times New Roman" w:hAnsi="Times New Roman" w:cs="Times New Roman"/>
          <w:b w:val="0"/>
          <w:bCs w:val="0"/>
        </w:rPr>
        <w:t>pesquisa de revisão bibliográfica</w:t>
      </w:r>
      <w:r w:rsidRPr="000A4D48">
        <w:rPr>
          <w:rFonts w:ascii="Times New Roman" w:hAnsi="Times New Roman" w:cs="Times New Roman"/>
        </w:rPr>
        <w:t xml:space="preserve">, de natureza </w:t>
      </w:r>
      <w:r w:rsidRPr="000A4D48">
        <w:rPr>
          <w:rStyle w:val="Forte"/>
          <w:rFonts w:ascii="Times New Roman" w:hAnsi="Times New Roman" w:cs="Times New Roman"/>
          <w:b w:val="0"/>
          <w:bCs w:val="0"/>
        </w:rPr>
        <w:t>qualitativa</w:t>
      </w:r>
      <w:r w:rsidRPr="000A4D48">
        <w:rPr>
          <w:rFonts w:ascii="Times New Roman" w:hAnsi="Times New Roman" w:cs="Times New Roman"/>
        </w:rPr>
        <w:t xml:space="preserve"> e de caráter </w:t>
      </w:r>
      <w:r w:rsidRPr="000A4D48">
        <w:rPr>
          <w:rStyle w:val="Forte"/>
          <w:rFonts w:ascii="Times New Roman" w:hAnsi="Times New Roman" w:cs="Times New Roman"/>
          <w:b w:val="0"/>
          <w:bCs w:val="0"/>
        </w:rPr>
        <w:t>descritivo e exploratório</w:t>
      </w:r>
      <w:r>
        <w:rPr>
          <w:rStyle w:val="Forte"/>
          <w:rFonts w:ascii="Times New Roman" w:hAnsi="Times New Roman" w:cs="Times New Roman"/>
          <w:b w:val="0"/>
          <w:bCs w:val="0"/>
        </w:rPr>
        <w:t>, realizando pesquisas de artigos completos e recentes dos anos de 2015 à 2025 com base de dados científicos como SciELO, site ANVISA e Google Acadêmico.</w:t>
      </w:r>
      <w:r w:rsidR="009B66A1" w:rsidRPr="00F9327E">
        <w:rPr>
          <w:rFonts w:ascii="Times New Roman" w:hAnsi="Times New Roman" w:cs="Times New Roman"/>
        </w:rPr>
        <w:t xml:space="preserve"> </w:t>
      </w:r>
      <w:r w:rsidR="009B66A1" w:rsidRPr="00F9327E">
        <w:rPr>
          <w:rFonts w:ascii="Times New Roman" w:hAnsi="Times New Roman" w:cs="Times New Roman"/>
          <w:b/>
        </w:rPr>
        <w:t>Resultados:</w:t>
      </w:r>
      <w:r w:rsidR="00E25714">
        <w:rPr>
          <w:rFonts w:ascii="Times New Roman" w:hAnsi="Times New Roman" w:cs="Times New Roman"/>
        </w:rPr>
        <w:t xml:space="preserve"> Os resultados evidenciaram que as principais dificuldades enfrentadas pelos profissionais de saúde na farmacovigilância hospitalar envolvem a falta de conhecimento sobre o sistema de notificação da farmacovigilância, a sobrecarga de trabalho e as subnotificações</w:t>
      </w:r>
      <w:r>
        <w:rPr>
          <w:rFonts w:ascii="Times New Roman" w:hAnsi="Times New Roman" w:cs="Times New Roman"/>
        </w:rPr>
        <w:t>.</w:t>
      </w:r>
      <w:r w:rsidR="00F75E8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Em estudos realizados em várias instituições por Hussain et al. 2022 demonstrou uma taxa de 79,5% relativo ao conhecimento limitado dos profissionais de saúde sobre o conceito e a prática da farmacovigilância, refletindo diretamente na baixa adesão às notificações das </w:t>
      </w:r>
      <w:proofErr w:type="spellStart"/>
      <w:r>
        <w:rPr>
          <w:rFonts w:ascii="Times New Roman" w:hAnsi="Times New Roman" w:cs="Times New Roman"/>
        </w:rPr>
        <w:t>RAMs</w:t>
      </w:r>
      <w:proofErr w:type="spellEnd"/>
      <w:r>
        <w:rPr>
          <w:rFonts w:ascii="Times New Roman" w:hAnsi="Times New Roman" w:cs="Times New Roman"/>
        </w:rPr>
        <w:t xml:space="preserve">. </w:t>
      </w:r>
      <w:r w:rsidR="00F75E8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Mesmo com atitudes positivas a prática da farmacovigilância, a maioria dos profissionais não realiza as notificações devido à falta de tempo e a</w:t>
      </w:r>
      <w:r>
        <w:rPr>
          <w:rFonts w:ascii="Times New Roman" w:hAnsi="Times New Roman" w:cs="Times New Roman"/>
        </w:rPr>
        <w:t xml:space="preserve"> sobrecarga de trabalho</w:t>
      </w:r>
      <w:r w:rsidR="00D541AE">
        <w:rPr>
          <w:rFonts w:ascii="Times New Roman" w:hAnsi="Times New Roman" w:cs="Times New Roman"/>
        </w:rPr>
        <w:t xml:space="preserve"> acarretando em subnotificações.</w:t>
      </w:r>
      <w:r>
        <w:rPr>
          <w:rFonts w:ascii="Times New Roman" w:hAnsi="Times New Roman" w:cs="Times New Roman"/>
        </w:rPr>
        <w:t xml:space="preserve"> (FERREIRA et al. </w:t>
      </w:r>
      <w:r>
        <w:rPr>
          <w:rFonts w:ascii="Times New Roman" w:hAnsi="Times New Roman" w:cs="Times New Roman"/>
        </w:rPr>
        <w:lastRenderedPageBreak/>
        <w:t>2024</w:t>
      </w:r>
      <w:r w:rsidR="00D027C1">
        <w:rPr>
          <w:rFonts w:ascii="Times New Roman" w:hAnsi="Times New Roman" w:cs="Times New Roman"/>
        </w:rPr>
        <w:t xml:space="preserve">). </w:t>
      </w:r>
      <w:r w:rsidR="009B66A1" w:rsidRPr="00F9327E">
        <w:rPr>
          <w:rFonts w:ascii="Times New Roman" w:hAnsi="Times New Roman" w:cs="Times New Roman"/>
          <w:b/>
        </w:rPr>
        <w:t>Conclusões</w:t>
      </w:r>
      <w:r w:rsidR="00D027C1">
        <w:rPr>
          <w:rFonts w:ascii="Times New Roman" w:hAnsi="Times New Roman" w:cs="Times New Roman"/>
          <w:b/>
        </w:rPr>
        <w:t>:</w:t>
      </w:r>
      <w:r w:rsidR="00D027C1">
        <w:rPr>
          <w:rFonts w:ascii="Times New Roman" w:hAnsi="Times New Roman" w:cs="Times New Roman"/>
          <w:bCs/>
        </w:rPr>
        <w:t xml:space="preserve"> Conclui-se que necessita investimentos de treinamentos de educação continuada aos profissionais de saúde para conhecer melhor a farmacovigilância e engajar a equipe de profissionais de saúde, como uma atenção criteriosa dos gestores hospitalares sobre a sobrecarga de trabalho. </w:t>
      </w:r>
    </w:p>
    <w:p w14:paraId="0387CCF7" w14:textId="77777777" w:rsidR="00D027C1" w:rsidRPr="00D027C1" w:rsidRDefault="009B66A1" w:rsidP="00D027C1">
      <w:pPr>
        <w:tabs>
          <w:tab w:val="center" w:pos="4535"/>
          <w:tab w:val="left" w:pos="6552"/>
        </w:tabs>
        <w:spacing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F9327E">
        <w:rPr>
          <w:rFonts w:ascii="Times New Roman" w:hAnsi="Times New Roman" w:cs="Times New Roman"/>
          <w:b/>
        </w:rPr>
        <w:t>Palavras-chave:</w:t>
      </w:r>
      <w:r w:rsidRPr="00F9327E">
        <w:rPr>
          <w:rFonts w:ascii="Times New Roman" w:hAnsi="Times New Roman" w:cs="Times New Roman"/>
        </w:rPr>
        <w:t xml:space="preserve"> </w:t>
      </w:r>
      <w:bookmarkStart w:id="0" w:name="_Hlk212566463"/>
      <w:r w:rsidR="00D027C1" w:rsidRPr="00D027C1">
        <w:rPr>
          <w:rFonts w:ascii="Times New Roman" w:hAnsi="Times New Roman" w:cs="Times New Roman"/>
          <w:bCs/>
          <w:sz w:val="20"/>
          <w:szCs w:val="20"/>
        </w:rPr>
        <w:t xml:space="preserve">farmacovigilância + dificuldades enfrentadas, farmacovigilância + hospitalar </w:t>
      </w:r>
    </w:p>
    <w:p w14:paraId="0BCECC8B" w14:textId="77777777" w:rsidR="00D027C1" w:rsidRDefault="00D027C1" w:rsidP="00D027C1">
      <w:pPr>
        <w:tabs>
          <w:tab w:val="center" w:pos="4535"/>
          <w:tab w:val="left" w:pos="6552"/>
        </w:tabs>
        <w:spacing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027C1">
        <w:rPr>
          <w:rFonts w:ascii="Times New Roman" w:hAnsi="Times New Roman" w:cs="Times New Roman"/>
          <w:bCs/>
          <w:sz w:val="20"/>
          <w:szCs w:val="20"/>
        </w:rPr>
        <w:t xml:space="preserve">Farmacovigilância + subnotificações </w:t>
      </w:r>
    </w:p>
    <w:p w14:paraId="3B87D91F" w14:textId="77777777" w:rsidR="00B87E84" w:rsidRPr="00D027C1" w:rsidRDefault="00B87E84" w:rsidP="00D027C1">
      <w:pPr>
        <w:tabs>
          <w:tab w:val="center" w:pos="4535"/>
          <w:tab w:val="left" w:pos="6552"/>
        </w:tabs>
        <w:spacing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bookmarkEnd w:id="0"/>
    <w:p w14:paraId="7C3478DF" w14:textId="77777777" w:rsidR="00B87E84" w:rsidRPr="00B87E84" w:rsidRDefault="00B87E84" w:rsidP="00B87E84">
      <w:pPr>
        <w:pStyle w:val="NormalWeb"/>
        <w:rPr>
          <w:sz w:val="20"/>
          <w:szCs w:val="20"/>
        </w:rPr>
      </w:pPr>
      <w:r w:rsidRPr="00B87E84">
        <w:rPr>
          <w:rStyle w:val="Forte"/>
          <w:rFonts w:eastAsiaTheme="majorEastAsia"/>
          <w:sz w:val="20"/>
          <w:szCs w:val="20"/>
        </w:rPr>
        <w:t>AGÊNCIA NACIONAL DE VIGILÂNCIA SANITÁRIA (ANVISA).</w:t>
      </w:r>
      <w:r w:rsidRPr="00B87E84">
        <w:rPr>
          <w:sz w:val="20"/>
          <w:szCs w:val="20"/>
        </w:rPr>
        <w:t xml:space="preserve"> </w:t>
      </w:r>
      <w:proofErr w:type="spellStart"/>
      <w:r w:rsidRPr="00B87E84">
        <w:rPr>
          <w:rStyle w:val="nfase"/>
          <w:rFonts w:eastAsiaTheme="majorEastAsia"/>
          <w:sz w:val="20"/>
          <w:szCs w:val="20"/>
        </w:rPr>
        <w:t>Vigimed</w:t>
      </w:r>
      <w:proofErr w:type="spellEnd"/>
      <w:r w:rsidRPr="00B87E84">
        <w:rPr>
          <w:rStyle w:val="nfase"/>
          <w:rFonts w:eastAsiaTheme="majorEastAsia"/>
          <w:sz w:val="20"/>
          <w:szCs w:val="20"/>
        </w:rPr>
        <w:t>.</w:t>
      </w:r>
      <w:r w:rsidRPr="00B87E84">
        <w:rPr>
          <w:sz w:val="20"/>
          <w:szCs w:val="20"/>
        </w:rPr>
        <w:t xml:space="preserve"> Brasília: Anvisa, [2025?]. Disponível em: </w:t>
      </w:r>
      <w:hyperlink r:id="rId4" w:tgtFrame="_new" w:history="1">
        <w:r w:rsidRPr="00B87E84">
          <w:rPr>
            <w:rStyle w:val="Hyperlink"/>
            <w:rFonts w:eastAsiaTheme="majorEastAsia"/>
            <w:sz w:val="20"/>
            <w:szCs w:val="20"/>
          </w:rPr>
          <w:t>https://www.gov.br/anvisa/pt-br/assuntos/fiscalizacao-e-monitoramento/notificacoes/vigimed</w:t>
        </w:r>
      </w:hyperlink>
      <w:r w:rsidRPr="00B87E84">
        <w:rPr>
          <w:sz w:val="20"/>
          <w:szCs w:val="20"/>
        </w:rPr>
        <w:t>. Acesso em: 8 ago. 2025.</w:t>
      </w:r>
    </w:p>
    <w:p w14:paraId="040E065D" w14:textId="77777777" w:rsidR="00B87E84" w:rsidRPr="00B87E84" w:rsidRDefault="00B87E84" w:rsidP="00B87E84">
      <w:pPr>
        <w:pStyle w:val="NormalWeb"/>
        <w:rPr>
          <w:sz w:val="20"/>
          <w:szCs w:val="20"/>
        </w:rPr>
      </w:pPr>
      <w:r w:rsidRPr="00B87E84">
        <w:rPr>
          <w:rStyle w:val="Forte"/>
          <w:rFonts w:eastAsiaTheme="majorEastAsia"/>
          <w:sz w:val="20"/>
          <w:szCs w:val="20"/>
        </w:rPr>
        <w:t>FERREIRA, A. C. S.</w:t>
      </w:r>
      <w:r w:rsidRPr="00B87E84">
        <w:rPr>
          <w:sz w:val="20"/>
          <w:szCs w:val="20"/>
        </w:rPr>
        <w:t xml:space="preserve"> </w:t>
      </w:r>
      <w:r w:rsidRPr="00B87E84">
        <w:rPr>
          <w:rStyle w:val="nfase"/>
          <w:rFonts w:eastAsiaTheme="majorEastAsia"/>
          <w:sz w:val="20"/>
          <w:szCs w:val="20"/>
        </w:rPr>
        <w:t>et al.</w:t>
      </w:r>
      <w:r w:rsidRPr="00B87E84">
        <w:rPr>
          <w:sz w:val="20"/>
          <w:szCs w:val="20"/>
        </w:rPr>
        <w:t xml:space="preserve"> Desafios e perspectivas da farmacovigilância hospitalar: o papel do enfermeiro na segurança do paciente. </w:t>
      </w:r>
      <w:r w:rsidRPr="00B87E84">
        <w:rPr>
          <w:rStyle w:val="nfase"/>
          <w:rFonts w:eastAsiaTheme="majorEastAsia"/>
          <w:sz w:val="20"/>
          <w:szCs w:val="20"/>
        </w:rPr>
        <w:t>Revista Brasileira de Enfermagem,</w:t>
      </w:r>
      <w:r w:rsidRPr="00B87E84">
        <w:rPr>
          <w:sz w:val="20"/>
          <w:szCs w:val="20"/>
        </w:rPr>
        <w:t xml:space="preserve"> v. 77, n. 1, p. 1–10, 2024. DOI: https://doi.org/10.1590/0034-7167-2024-0015.</w:t>
      </w:r>
    </w:p>
    <w:p w14:paraId="2916E14C" w14:textId="77777777" w:rsidR="00B87E84" w:rsidRPr="00B87E84" w:rsidRDefault="00B87E84" w:rsidP="00B87E84">
      <w:pPr>
        <w:pStyle w:val="NormalWeb"/>
        <w:rPr>
          <w:sz w:val="20"/>
          <w:szCs w:val="20"/>
        </w:rPr>
      </w:pPr>
      <w:r w:rsidRPr="00B87E84">
        <w:rPr>
          <w:rStyle w:val="Forte"/>
          <w:rFonts w:eastAsiaTheme="majorEastAsia"/>
          <w:sz w:val="20"/>
          <w:szCs w:val="20"/>
        </w:rPr>
        <w:t>HUSSAIN, R.</w:t>
      </w:r>
      <w:r w:rsidRPr="00B87E84">
        <w:rPr>
          <w:sz w:val="20"/>
          <w:szCs w:val="20"/>
        </w:rPr>
        <w:t xml:space="preserve"> </w:t>
      </w:r>
      <w:r w:rsidRPr="00B87E84">
        <w:rPr>
          <w:rStyle w:val="nfase"/>
          <w:rFonts w:eastAsiaTheme="majorEastAsia"/>
          <w:sz w:val="20"/>
          <w:szCs w:val="20"/>
        </w:rPr>
        <w:t>et al.</w:t>
      </w:r>
      <w:r w:rsidRPr="00B87E84">
        <w:rPr>
          <w:sz w:val="20"/>
          <w:szCs w:val="20"/>
        </w:rPr>
        <w:t xml:space="preserve"> </w:t>
      </w:r>
      <w:proofErr w:type="spellStart"/>
      <w:r w:rsidRPr="00B87E84">
        <w:rPr>
          <w:sz w:val="20"/>
          <w:szCs w:val="20"/>
        </w:rPr>
        <w:t>Exploring</w:t>
      </w:r>
      <w:proofErr w:type="spellEnd"/>
      <w:r w:rsidRPr="00B87E84">
        <w:rPr>
          <w:sz w:val="20"/>
          <w:szCs w:val="20"/>
        </w:rPr>
        <w:t xml:space="preserve"> </w:t>
      </w:r>
      <w:proofErr w:type="spellStart"/>
      <w:r w:rsidRPr="00B87E84">
        <w:rPr>
          <w:sz w:val="20"/>
          <w:szCs w:val="20"/>
        </w:rPr>
        <w:t>the</w:t>
      </w:r>
      <w:proofErr w:type="spellEnd"/>
      <w:r w:rsidRPr="00B87E84">
        <w:rPr>
          <w:sz w:val="20"/>
          <w:szCs w:val="20"/>
        </w:rPr>
        <w:t xml:space="preserve"> </w:t>
      </w:r>
      <w:proofErr w:type="spellStart"/>
      <w:r w:rsidRPr="00B87E84">
        <w:rPr>
          <w:sz w:val="20"/>
          <w:szCs w:val="20"/>
        </w:rPr>
        <w:t>factors</w:t>
      </w:r>
      <w:proofErr w:type="spellEnd"/>
      <w:r w:rsidRPr="00B87E84">
        <w:rPr>
          <w:sz w:val="20"/>
          <w:szCs w:val="20"/>
        </w:rPr>
        <w:t xml:space="preserve"> </w:t>
      </w:r>
      <w:proofErr w:type="spellStart"/>
      <w:r w:rsidRPr="00B87E84">
        <w:rPr>
          <w:sz w:val="20"/>
          <w:szCs w:val="20"/>
        </w:rPr>
        <w:t>and</w:t>
      </w:r>
      <w:proofErr w:type="spellEnd"/>
      <w:r w:rsidRPr="00B87E84">
        <w:rPr>
          <w:sz w:val="20"/>
          <w:szCs w:val="20"/>
        </w:rPr>
        <w:t xml:space="preserve"> </w:t>
      </w:r>
      <w:proofErr w:type="spellStart"/>
      <w:r w:rsidRPr="00B87E84">
        <w:rPr>
          <w:sz w:val="20"/>
          <w:szCs w:val="20"/>
        </w:rPr>
        <w:t>barriers</w:t>
      </w:r>
      <w:proofErr w:type="spellEnd"/>
      <w:r w:rsidRPr="00B87E84">
        <w:rPr>
          <w:sz w:val="20"/>
          <w:szCs w:val="20"/>
        </w:rPr>
        <w:t xml:space="preserve"> </w:t>
      </w:r>
      <w:proofErr w:type="spellStart"/>
      <w:r w:rsidRPr="00B87E84">
        <w:rPr>
          <w:sz w:val="20"/>
          <w:szCs w:val="20"/>
        </w:rPr>
        <w:t>to</w:t>
      </w:r>
      <w:proofErr w:type="spellEnd"/>
      <w:r w:rsidRPr="00B87E84">
        <w:rPr>
          <w:sz w:val="20"/>
          <w:szCs w:val="20"/>
        </w:rPr>
        <w:t xml:space="preserve"> </w:t>
      </w:r>
      <w:proofErr w:type="spellStart"/>
      <w:r w:rsidRPr="00B87E84">
        <w:rPr>
          <w:sz w:val="20"/>
          <w:szCs w:val="20"/>
        </w:rPr>
        <w:t>reporting</w:t>
      </w:r>
      <w:proofErr w:type="spellEnd"/>
      <w:r w:rsidRPr="00B87E84">
        <w:rPr>
          <w:sz w:val="20"/>
          <w:szCs w:val="20"/>
        </w:rPr>
        <w:t xml:space="preserve"> adverse </w:t>
      </w:r>
      <w:proofErr w:type="spellStart"/>
      <w:r w:rsidRPr="00B87E84">
        <w:rPr>
          <w:sz w:val="20"/>
          <w:szCs w:val="20"/>
        </w:rPr>
        <w:t>drug</w:t>
      </w:r>
      <w:proofErr w:type="spellEnd"/>
      <w:r w:rsidRPr="00B87E84">
        <w:rPr>
          <w:sz w:val="20"/>
          <w:szCs w:val="20"/>
        </w:rPr>
        <w:t xml:space="preserve"> </w:t>
      </w:r>
      <w:proofErr w:type="spellStart"/>
      <w:r w:rsidRPr="00B87E84">
        <w:rPr>
          <w:sz w:val="20"/>
          <w:szCs w:val="20"/>
        </w:rPr>
        <w:t>reactions</w:t>
      </w:r>
      <w:proofErr w:type="spellEnd"/>
      <w:r w:rsidRPr="00B87E84">
        <w:rPr>
          <w:sz w:val="20"/>
          <w:szCs w:val="20"/>
        </w:rPr>
        <w:t xml:space="preserve"> (ADRs) </w:t>
      </w:r>
      <w:proofErr w:type="spellStart"/>
      <w:r w:rsidRPr="00B87E84">
        <w:rPr>
          <w:sz w:val="20"/>
          <w:szCs w:val="20"/>
        </w:rPr>
        <w:t>among</w:t>
      </w:r>
      <w:proofErr w:type="spellEnd"/>
      <w:r w:rsidRPr="00B87E84">
        <w:rPr>
          <w:sz w:val="20"/>
          <w:szCs w:val="20"/>
        </w:rPr>
        <w:t xml:space="preserve"> healthcare </w:t>
      </w:r>
      <w:proofErr w:type="spellStart"/>
      <w:r w:rsidRPr="00B87E84">
        <w:rPr>
          <w:sz w:val="20"/>
          <w:szCs w:val="20"/>
        </w:rPr>
        <w:t>professionals</w:t>
      </w:r>
      <w:proofErr w:type="spellEnd"/>
      <w:r w:rsidRPr="00B87E84">
        <w:rPr>
          <w:sz w:val="20"/>
          <w:szCs w:val="20"/>
        </w:rPr>
        <w:t xml:space="preserve"> in Pakistan. </w:t>
      </w:r>
      <w:proofErr w:type="spellStart"/>
      <w:r w:rsidRPr="00B87E84">
        <w:rPr>
          <w:rStyle w:val="nfase"/>
          <w:rFonts w:eastAsiaTheme="majorEastAsia"/>
          <w:sz w:val="20"/>
          <w:szCs w:val="20"/>
        </w:rPr>
        <w:t>Current</w:t>
      </w:r>
      <w:proofErr w:type="spellEnd"/>
      <w:r w:rsidRPr="00B87E84">
        <w:rPr>
          <w:rStyle w:val="nfase"/>
          <w:rFonts w:eastAsiaTheme="majorEastAsia"/>
          <w:sz w:val="20"/>
          <w:szCs w:val="20"/>
        </w:rPr>
        <w:t xml:space="preserve"> Medical </w:t>
      </w:r>
      <w:proofErr w:type="spellStart"/>
      <w:r w:rsidRPr="00B87E84">
        <w:rPr>
          <w:rStyle w:val="nfase"/>
          <w:rFonts w:eastAsiaTheme="majorEastAsia"/>
          <w:sz w:val="20"/>
          <w:szCs w:val="20"/>
        </w:rPr>
        <w:t>Research</w:t>
      </w:r>
      <w:proofErr w:type="spellEnd"/>
      <w:r w:rsidRPr="00B87E84">
        <w:rPr>
          <w:rStyle w:val="nfase"/>
          <w:rFonts w:eastAsiaTheme="majorEastAsia"/>
          <w:sz w:val="20"/>
          <w:szCs w:val="20"/>
        </w:rPr>
        <w:t xml:space="preserve"> </w:t>
      </w:r>
      <w:proofErr w:type="spellStart"/>
      <w:r w:rsidRPr="00B87E84">
        <w:rPr>
          <w:rStyle w:val="nfase"/>
          <w:rFonts w:eastAsiaTheme="majorEastAsia"/>
          <w:sz w:val="20"/>
          <w:szCs w:val="20"/>
        </w:rPr>
        <w:t>and</w:t>
      </w:r>
      <w:proofErr w:type="spellEnd"/>
      <w:r w:rsidRPr="00B87E84">
        <w:rPr>
          <w:rStyle w:val="nfase"/>
          <w:rFonts w:eastAsiaTheme="majorEastAsia"/>
          <w:sz w:val="20"/>
          <w:szCs w:val="20"/>
        </w:rPr>
        <w:t xml:space="preserve"> Opinion,</w:t>
      </w:r>
      <w:r w:rsidRPr="00B87E84">
        <w:rPr>
          <w:sz w:val="20"/>
          <w:szCs w:val="20"/>
        </w:rPr>
        <w:t xml:space="preserve"> v. 38, n. 4, p. 621–629, 2022. DOI: https://doi.org/10.1080/03007995.2022.2042992.</w:t>
      </w:r>
    </w:p>
    <w:p w14:paraId="560CA9E9" w14:textId="77777777" w:rsidR="009B66A1" w:rsidRPr="00F9327E" w:rsidRDefault="009B66A1" w:rsidP="00DD4CF3">
      <w:pPr>
        <w:spacing w:line="360" w:lineRule="auto"/>
        <w:jc w:val="both"/>
        <w:rPr>
          <w:rFonts w:ascii="Times New Roman" w:hAnsi="Times New Roman" w:cs="Times New Roman"/>
        </w:rPr>
      </w:pPr>
    </w:p>
    <w:sectPr w:rsidR="009B66A1" w:rsidRPr="00F9327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6A1"/>
    <w:rsid w:val="00030B85"/>
    <w:rsid w:val="00057461"/>
    <w:rsid w:val="000831DA"/>
    <w:rsid w:val="000955A4"/>
    <w:rsid w:val="00096140"/>
    <w:rsid w:val="000F546A"/>
    <w:rsid w:val="00135450"/>
    <w:rsid w:val="00143532"/>
    <w:rsid w:val="00256047"/>
    <w:rsid w:val="0028331E"/>
    <w:rsid w:val="00284F42"/>
    <w:rsid w:val="00285033"/>
    <w:rsid w:val="002F38D8"/>
    <w:rsid w:val="0038516B"/>
    <w:rsid w:val="003F3DD8"/>
    <w:rsid w:val="00426D4A"/>
    <w:rsid w:val="005E3569"/>
    <w:rsid w:val="00635F02"/>
    <w:rsid w:val="006B5E00"/>
    <w:rsid w:val="00752100"/>
    <w:rsid w:val="007A1399"/>
    <w:rsid w:val="00835B47"/>
    <w:rsid w:val="00872AC3"/>
    <w:rsid w:val="008E07AE"/>
    <w:rsid w:val="009610B4"/>
    <w:rsid w:val="00995EFD"/>
    <w:rsid w:val="009B66A1"/>
    <w:rsid w:val="009D4E1A"/>
    <w:rsid w:val="00A0406F"/>
    <w:rsid w:val="00A159C9"/>
    <w:rsid w:val="00A71879"/>
    <w:rsid w:val="00AB1218"/>
    <w:rsid w:val="00AD2C36"/>
    <w:rsid w:val="00B87E84"/>
    <w:rsid w:val="00B96B9D"/>
    <w:rsid w:val="00BC4105"/>
    <w:rsid w:val="00C83F59"/>
    <w:rsid w:val="00CE72A0"/>
    <w:rsid w:val="00D027C1"/>
    <w:rsid w:val="00D059F2"/>
    <w:rsid w:val="00D35493"/>
    <w:rsid w:val="00D541AE"/>
    <w:rsid w:val="00D7123C"/>
    <w:rsid w:val="00D7308E"/>
    <w:rsid w:val="00D9012F"/>
    <w:rsid w:val="00DB1E75"/>
    <w:rsid w:val="00DD4CF3"/>
    <w:rsid w:val="00DE2F9B"/>
    <w:rsid w:val="00E079D2"/>
    <w:rsid w:val="00E25714"/>
    <w:rsid w:val="00E4094F"/>
    <w:rsid w:val="00EB2B35"/>
    <w:rsid w:val="00EF30FC"/>
    <w:rsid w:val="00F75E85"/>
    <w:rsid w:val="00F9327E"/>
    <w:rsid w:val="00FD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6277C"/>
  <w15:chartTrackingRefBased/>
  <w15:docId w15:val="{C6E9868A-8FA0-4008-8B16-CDB4A78E1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B66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B66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B66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B66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B66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B66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B66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B66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B66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B66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B66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B66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B66A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B66A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B66A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B66A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B66A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B66A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B66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B66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B66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B66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B66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B66A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B66A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B66A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B66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B66A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B66A1"/>
    <w:rPr>
      <w:b/>
      <w:bCs/>
      <w:smallCaps/>
      <w:color w:val="0F4761" w:themeColor="accent1" w:themeShade="BF"/>
      <w:spacing w:val="5"/>
    </w:rPr>
  </w:style>
  <w:style w:type="paragraph" w:customStyle="1" w:styleId="CorpoA">
    <w:name w:val="Corpo A"/>
    <w:rsid w:val="009B66A1"/>
    <w:pPr>
      <w:spacing w:after="0" w:line="240" w:lineRule="auto"/>
    </w:pPr>
    <w:rPr>
      <w:rFonts w:ascii="Calibri" w:eastAsia="Calibri" w:hAnsi="Calibri" w:cs="Calibri"/>
      <w:color w:val="000000"/>
      <w:kern w:val="0"/>
      <w:sz w:val="22"/>
      <w:szCs w:val="22"/>
      <w:u w:color="000000"/>
      <w:lang w:eastAsia="pt-BR"/>
      <w14:ligatures w14:val="none"/>
    </w:rPr>
  </w:style>
  <w:style w:type="character" w:customStyle="1" w:styleId="apple-converted-space">
    <w:name w:val="apple-converted-space"/>
    <w:rsid w:val="009B66A1"/>
  </w:style>
  <w:style w:type="character" w:styleId="Forte">
    <w:name w:val="Strong"/>
    <w:basedOn w:val="Fontepargpadro"/>
    <w:uiPriority w:val="22"/>
    <w:qFormat/>
    <w:rsid w:val="00995EFD"/>
    <w:rPr>
      <w:b/>
      <w:bCs/>
    </w:rPr>
  </w:style>
  <w:style w:type="character" w:styleId="Hyperlink">
    <w:name w:val="Hyperlink"/>
    <w:basedOn w:val="Fontepargpadro"/>
    <w:uiPriority w:val="99"/>
    <w:unhideWhenUsed/>
    <w:rsid w:val="00D027C1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unhideWhenUsed/>
    <w:rsid w:val="00D027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styleId="nfase">
    <w:name w:val="Emphasis"/>
    <w:basedOn w:val="Fontepargpadro"/>
    <w:uiPriority w:val="20"/>
    <w:qFormat/>
    <w:rsid w:val="00D027C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v.br/anvisa/pt-br/assuntos/fiscalizacao-e-monitoramento/notificacoes/vigimed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581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Rafaela França</dc:creator>
  <cp:keywords/>
  <dc:description/>
  <cp:lastModifiedBy>Giovanna Teixeira Moreira</cp:lastModifiedBy>
  <cp:revision>9</cp:revision>
  <dcterms:created xsi:type="dcterms:W3CDTF">2025-08-25T01:50:00Z</dcterms:created>
  <dcterms:modified xsi:type="dcterms:W3CDTF">2025-10-28T23:35:00Z</dcterms:modified>
</cp:coreProperties>
</file>